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EB574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44"/>
          <w:szCs w:val="44"/>
        </w:rPr>
      </w:pPr>
      <w:bookmarkStart w:id="0" w:name="_GoBack"/>
      <w:bookmarkEnd w:id="0"/>
      <w:r>
        <w:rPr>
          <w:rFonts w:ascii="Calibri,Bold" w:hAnsi="Calibri,Bold" w:cs="Calibri,Bold"/>
          <w:b/>
          <w:bCs/>
          <w:sz w:val="44"/>
          <w:szCs w:val="44"/>
        </w:rPr>
        <w:t>California Married Applicant Disclosure</w:t>
      </w:r>
    </w:p>
    <w:p w14:paraId="57D3D93D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Under California Civil Code 1812.30(j) the following notice is being</w:t>
      </w:r>
    </w:p>
    <w:p w14:paraId="7541D88A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provided to you:</w:t>
      </w:r>
    </w:p>
    <w:p w14:paraId="7A1D2F19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“Credit applications for the obtainment of money, goods, labor, or</w:t>
      </w:r>
    </w:p>
    <w:p w14:paraId="4CA4D3C8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services shall clearly specify that the applicant, if married, may apply</w:t>
      </w:r>
    </w:p>
    <w:p w14:paraId="6A5D89AD" w14:textId="77777777" w:rsidR="00FB59CF" w:rsidRDefault="00FB59CF" w:rsidP="00FB59C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32"/>
          <w:szCs w:val="32"/>
        </w:rPr>
      </w:pPr>
      <w:r>
        <w:rPr>
          <w:rFonts w:ascii="Calibri,Bold" w:hAnsi="Calibri,Bold" w:cs="Calibri,Bold"/>
          <w:b/>
          <w:bCs/>
          <w:sz w:val="32"/>
          <w:szCs w:val="32"/>
        </w:rPr>
        <w:t>for a separate account”.</w:t>
      </w:r>
    </w:p>
    <w:sectPr w:rsidR="00FB5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F"/>
    <w:rsid w:val="005624E3"/>
    <w:rsid w:val="00FB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B33B1"/>
  <w15:chartTrackingRefBased/>
  <w15:docId w15:val="{B8247BB8-FF3A-4B54-826A-A122A5F96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Christian Community Credit Union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Sparks</dc:creator>
  <cp:keywords/>
  <dc:description/>
  <cp:lastModifiedBy>Amanda Sparks</cp:lastModifiedBy>
  <cp:revision>1</cp:revision>
  <dcterms:created xsi:type="dcterms:W3CDTF">2020-01-31T23:09:00Z</dcterms:created>
  <dcterms:modified xsi:type="dcterms:W3CDTF">2020-01-31T23:10:00Z</dcterms:modified>
</cp:coreProperties>
</file>